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79B" w:rsidRDefault="00AF279B" w:rsidP="00AF279B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AF279B" w:rsidRDefault="00AF279B" w:rsidP="00AF279B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0723" w:type="dxa"/>
        <w:jc w:val="center"/>
        <w:tblLayout w:type="fixed"/>
        <w:tblLook w:val="0000" w:firstRow="0" w:lastRow="0" w:firstColumn="0" w:lastColumn="0" w:noHBand="0" w:noVBand="0"/>
      </w:tblPr>
      <w:tblGrid>
        <w:gridCol w:w="892"/>
        <w:gridCol w:w="535"/>
        <w:gridCol w:w="1156"/>
        <w:gridCol w:w="867"/>
        <w:gridCol w:w="1440"/>
        <w:gridCol w:w="1077"/>
        <w:gridCol w:w="1026"/>
        <w:gridCol w:w="82"/>
        <w:gridCol w:w="607"/>
        <w:gridCol w:w="277"/>
        <w:gridCol w:w="545"/>
        <w:gridCol w:w="7"/>
        <w:gridCol w:w="1548"/>
        <w:gridCol w:w="664"/>
      </w:tblGrid>
      <w:tr w:rsidR="00AF279B" w:rsidTr="00AF279B">
        <w:trPr>
          <w:trHeight w:hRule="exact" w:val="327"/>
          <w:jc w:val="center"/>
        </w:trPr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办公环境安全修缮建设</w:t>
            </w:r>
          </w:p>
        </w:tc>
        <w:tc>
          <w:tcPr>
            <w:tcW w:w="661" w:type="dxa"/>
          </w:tcPr>
          <w:p w:rsidR="00AF279B" w:rsidRDefault="00AF279B" w:rsidP="007A2885">
            <w:pPr>
              <w:widowControl/>
              <w:jc w:val="left"/>
            </w:pPr>
          </w:p>
        </w:tc>
      </w:tr>
      <w:tr w:rsidR="00AF279B" w:rsidTr="00AF279B">
        <w:trPr>
          <w:gridAfter w:val="1"/>
          <w:wAfter w:w="661" w:type="dxa"/>
          <w:trHeight w:hRule="exact" w:val="327"/>
          <w:jc w:val="center"/>
        </w:trPr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AF279B" w:rsidTr="00AF279B">
        <w:trPr>
          <w:gridAfter w:val="1"/>
          <w:wAfter w:w="661" w:type="dxa"/>
          <w:trHeight w:hRule="exact" w:val="327"/>
          <w:jc w:val="center"/>
        </w:trPr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刘磊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14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91163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99%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bookmarkStart w:id="0" w:name="_GoBack"/>
        <w:bookmarkEnd w:id="0"/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14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91163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AF279B" w:rsidTr="00AF279B">
        <w:trPr>
          <w:gridAfter w:val="1"/>
          <w:wAfter w:w="661" w:type="dxa"/>
          <w:trHeight w:hRule="exact" w:val="327"/>
          <w:jc w:val="center"/>
        </w:trPr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0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0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AF279B" w:rsidTr="00AF279B">
        <w:trPr>
          <w:gridAfter w:val="1"/>
          <w:wAfter w:w="661" w:type="dxa"/>
          <w:trHeight w:hRule="exact" w:val="1004"/>
          <w:jc w:val="center"/>
        </w:trPr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0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修建消防安全疏散通道，办公楼窗户加装护栏，办公楼楼顶通道改造，彻底消除安全隐患。</w:t>
            </w:r>
          </w:p>
        </w:tc>
        <w:tc>
          <w:tcPr>
            <w:tcW w:w="40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修建消防安全疏散通道，办公楼窗户加装护栏，办公楼楼顶通道改造，彻底消除安全隐患。</w:t>
            </w:r>
          </w:p>
        </w:tc>
      </w:tr>
      <w:tr w:rsidR="00AF279B" w:rsidTr="00AF279B">
        <w:trPr>
          <w:gridAfter w:val="1"/>
          <w:wAfter w:w="664" w:type="dxa"/>
          <w:trHeight w:hRule="exact" w:val="1107"/>
          <w:jc w:val="center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建设（维护、修缮）工程量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t>200</w:t>
            </w:r>
            <w:r>
              <w:rPr>
                <w:rFonts w:hint="eastAsia"/>
              </w:rPr>
              <w:t>平米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200</w:t>
            </w:r>
            <w:r>
              <w:rPr>
                <w:rFonts w:ascii="宋体" w:hAnsi="宋体" w:cs="宋体" w:hint="eastAsia"/>
                <w:kern w:val="0"/>
                <w:szCs w:val="18"/>
              </w:rPr>
              <w:t>平米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36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r>
              <w:rPr>
                <w:rFonts w:hint="eastAsia"/>
              </w:rPr>
              <w:t>建设（维护、修缮）工程项目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Cs w:val="18"/>
              </w:rPr>
              <w:t>项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建设（维护、修缮）工程总量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≥40平米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200</w:t>
            </w:r>
            <w:r>
              <w:rPr>
                <w:rFonts w:ascii="宋体" w:hAnsi="宋体" w:cs="宋体" w:hint="eastAsia"/>
                <w:kern w:val="0"/>
                <w:szCs w:val="18"/>
              </w:rPr>
              <w:t>平米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项目设计变更率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10%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Cs w:val="18"/>
              </w:rPr>
              <w:t>%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竣工验收合格率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≥98%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418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工程进度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</w:pPr>
            <w: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加强整体执行率</w:t>
            </w:r>
          </w:p>
        </w:tc>
      </w:tr>
      <w:tr w:rsidR="00AF279B" w:rsidTr="00AF279B">
        <w:trPr>
          <w:gridAfter w:val="1"/>
          <w:wAfter w:w="664" w:type="dxa"/>
          <w:trHeight w:hRule="exact" w:val="327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支出进度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279B" w:rsidRDefault="00AF279B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6月30日前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AF279B" w:rsidTr="00AF279B">
        <w:trPr>
          <w:gridAfter w:val="1"/>
          <w:wAfter w:w="664" w:type="dxa"/>
          <w:trHeight w:hRule="exact" w:val="334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超项目批复总投资比重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≤5%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≤5%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471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全生命周期成本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15</w:t>
            </w:r>
            <w:r>
              <w:rPr>
                <w:rFonts w:hint="eastAsia"/>
              </w:rPr>
              <w:t>万元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14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9</w:t>
            </w:r>
            <w:r>
              <w:rPr>
                <w:rFonts w:hint="eastAsia"/>
              </w:rPr>
              <w:t>万元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649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可持续影响指标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工程预计使用年限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4" w:type="dxa"/>
          <w:trHeight w:hRule="exact" w:val="1771"/>
          <w:jc w:val="center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满意度</w:t>
            </w:r>
          </w:p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服务对象满意度指标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用户满意度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AF279B" w:rsidTr="00AF279B">
        <w:trPr>
          <w:gridAfter w:val="1"/>
          <w:wAfter w:w="661" w:type="dxa"/>
          <w:trHeight w:hRule="exact" w:val="327"/>
          <w:jc w:val="center"/>
        </w:trPr>
        <w:tc>
          <w:tcPr>
            <w:tcW w:w="7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95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79B" w:rsidRDefault="00AF279B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/>
    <w:sectPr w:rsidR="000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C3" w:rsidRDefault="00C572C3" w:rsidP="00AF279B">
      <w:r>
        <w:separator/>
      </w:r>
    </w:p>
  </w:endnote>
  <w:endnote w:type="continuationSeparator" w:id="0">
    <w:p w:rsidR="00C572C3" w:rsidRDefault="00C572C3" w:rsidP="00AF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C3" w:rsidRDefault="00C572C3" w:rsidP="00AF279B">
      <w:r>
        <w:separator/>
      </w:r>
    </w:p>
  </w:footnote>
  <w:footnote w:type="continuationSeparator" w:id="0">
    <w:p w:rsidR="00C572C3" w:rsidRDefault="00C572C3" w:rsidP="00AF2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36"/>
    <w:rsid w:val="000A0719"/>
    <w:rsid w:val="005E5E36"/>
    <w:rsid w:val="00AF279B"/>
    <w:rsid w:val="00C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D7CB3"/>
  <w15:chartTrackingRefBased/>
  <w15:docId w15:val="{2A6B0E6C-B180-4250-BF8F-CB3873CE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F2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F2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F27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F279B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AF2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2</cp:revision>
  <dcterms:created xsi:type="dcterms:W3CDTF">2022-06-06T09:00:00Z</dcterms:created>
  <dcterms:modified xsi:type="dcterms:W3CDTF">2022-06-06T09:01:00Z</dcterms:modified>
</cp:coreProperties>
</file>